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Play" w:cs="Play" w:eastAsia="Play" w:hAnsi="Play"/>
          <w:b w:val="1"/>
          <w:bCs w:val="1"/>
          <w:color w:val="1f375d"/>
          <w:sz w:val="30"/>
          <w:szCs w:val="30"/>
          <w:rtl w:val="0"/>
        </w:rPr>
        <w:t xml:space="preserve">1000 ISLANDS REGIONAL</w:t>
        <w:br w:type="textWrapping"/>
        <w:t xml:space="preserve">LOCAL DEVELOPMENT CORPORATION</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Play" w:cs="Play" w:eastAsia="Play" w:hAnsi="Play"/>
          <w:b w:val="1"/>
          <w:bCs w:val="1"/>
          <w:sz w:val="36"/>
          <w:szCs w:val="36"/>
          <w:rtl w:val="0"/>
        </w:rPr>
        <w:t xml:space="preserve">REAL PROPERTY ACQUISITION POLICY</w:t>
      </w:r>
      <w:r w:rsidDel="00000000" w:rsidR="00000000" w:rsidRPr="00000000">
        <w:rPr>
          <w:rtl w:val="0"/>
        </w:rPr>
      </w:r>
    </w:p>
    <w:tbl>
      <w:tblPr>
        <w:tblStyle w:val="Table1"/>
        <w:tblW w:w="1008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200"/>
        <w:tblGridChange w:id="0">
          <w:tblGrid>
            <w:gridCol w:w="2880"/>
            <w:gridCol w:w="7200"/>
          </w:tblGrid>
        </w:tblGridChange>
      </w:tblGrid>
      <w:tr>
        <w:trPr>
          <w:cantSplit w:val="0"/>
          <w:tblHeader w:val="0"/>
        </w:trPr>
        <w:tc>
          <w:tcPr>
            <w:vAlign w:val="center"/>
          </w:tcPr>
          <w:p w:rsidR="00000000" w:rsidDel="00000000" w:rsidP="00000000" w:rsidRDefault="00000000" w:rsidRPr="00000000" w14:paraId="00000003">
            <w:pPr>
              <w:rPr/>
            </w:pPr>
            <w:r w:rsidDel="00000000" w:rsidR="00000000" w:rsidRPr="00000000">
              <w:rPr>
                <w:b w:val="1"/>
                <w:bCs w:val="1"/>
                <w:rtl w:val="0"/>
              </w:rPr>
              <w:t xml:space="preserve">Policy owner</w:t>
            </w:r>
            <w:r w:rsidDel="00000000" w:rsidR="00000000" w:rsidRPr="00000000">
              <w:rPr>
                <w:rtl w:val="0"/>
              </w:rPr>
            </w:r>
          </w:p>
        </w:tc>
        <w:tc>
          <w:tcPr>
            <w:vAlign w:val="center"/>
          </w:tcPr>
          <w:p w:rsidR="00000000" w:rsidDel="00000000" w:rsidP="00000000" w:rsidRDefault="00000000" w:rsidRPr="00000000" w14:paraId="00000004">
            <w:pPr>
              <w:rPr/>
            </w:pPr>
            <w:r w:rsidDel="00000000" w:rsidR="00000000" w:rsidRPr="00000000">
              <w:rPr>
                <w:rtl w:val="0"/>
              </w:rPr>
              <w:t xml:space="preserve">Board of Directors</w:t>
            </w:r>
          </w:p>
        </w:tc>
      </w:tr>
      <w:tr>
        <w:trPr>
          <w:cantSplit w:val="0"/>
          <w:tblHeader w:val="0"/>
        </w:trPr>
        <w:tc>
          <w:tcPr>
            <w:vAlign w:val="center"/>
          </w:tcPr>
          <w:p w:rsidR="00000000" w:rsidDel="00000000" w:rsidP="00000000" w:rsidRDefault="00000000" w:rsidRPr="00000000" w14:paraId="00000005">
            <w:pPr>
              <w:rPr/>
            </w:pPr>
            <w:r w:rsidDel="00000000" w:rsidR="00000000" w:rsidRPr="00000000">
              <w:rPr>
                <w:b w:val="1"/>
                <w:bCs w:val="1"/>
                <w:rtl w:val="0"/>
              </w:rPr>
              <w:t xml:space="preserve">Administered by</w:t>
            </w:r>
            <w:r w:rsidDel="00000000" w:rsidR="00000000" w:rsidRPr="00000000">
              <w:rPr>
                <w:rtl w:val="0"/>
              </w:rPr>
            </w:r>
          </w:p>
        </w:tc>
        <w:tc>
          <w:tcPr>
            <w:vAlign w:val="center"/>
          </w:tcPr>
          <w:p w:rsidR="00000000" w:rsidDel="00000000" w:rsidP="00000000" w:rsidRDefault="00000000" w:rsidRPr="00000000" w14:paraId="00000006">
            <w:pPr>
              <w:rPr/>
            </w:pPr>
            <w:r w:rsidDel="00000000" w:rsidR="00000000" w:rsidRPr="00000000">
              <w:rPr>
                <w:rtl w:val="0"/>
              </w:rPr>
              <w:t xml:space="preserve">Property Contracting Officer or other Board-authorized officer/designee</w:t>
            </w:r>
          </w:p>
        </w:tc>
      </w:tr>
      <w:tr>
        <w:trPr>
          <w:cantSplit w:val="0"/>
          <w:tblHeader w:val="0"/>
        </w:trPr>
        <w:tc>
          <w:tcPr>
            <w:vAlign w:val="center"/>
          </w:tcPr>
          <w:p w:rsidR="00000000" w:rsidDel="00000000" w:rsidP="00000000" w:rsidRDefault="00000000" w:rsidRPr="00000000" w14:paraId="00000007">
            <w:pPr>
              <w:rPr/>
            </w:pPr>
            <w:r w:rsidDel="00000000" w:rsidR="00000000" w:rsidRPr="00000000">
              <w:rPr>
                <w:b w:val="1"/>
                <w:bCs w:val="1"/>
                <w:rtl w:val="0"/>
              </w:rPr>
              <w:t xml:space="preserve">Effective date</w:t>
            </w:r>
            <w:r w:rsidDel="00000000" w:rsidR="00000000" w:rsidRPr="00000000">
              <w:rPr>
                <w:rtl w:val="0"/>
              </w:rPr>
            </w:r>
          </w:p>
        </w:tc>
        <w:tc>
          <w:tcPr>
            <w:vAlign w:val="center"/>
          </w:tcPr>
          <w:p w:rsidR="00000000" w:rsidDel="00000000" w:rsidP="00000000" w:rsidRDefault="00000000" w:rsidRPr="00000000" w14:paraId="00000008">
            <w:pPr>
              <w:rPr/>
            </w:pPr>
            <w:r w:rsidDel="00000000" w:rsidR="00000000" w:rsidRPr="00000000">
              <w:rPr>
                <w:rtl w:val="0"/>
              </w:rPr>
              <w:t xml:space="preserve">September 2. 2026  upon Board adoption</w:t>
            </w:r>
          </w:p>
        </w:tc>
      </w:tr>
      <w:tr>
        <w:trPr>
          <w:cantSplit w:val="0"/>
          <w:tblHeader w:val="0"/>
        </w:trPr>
        <w:tc>
          <w:tcPr>
            <w:vAlign w:val="center"/>
          </w:tcPr>
          <w:p w:rsidR="00000000" w:rsidDel="00000000" w:rsidP="00000000" w:rsidRDefault="00000000" w:rsidRPr="00000000" w14:paraId="00000009">
            <w:pPr>
              <w:rPr/>
            </w:pPr>
            <w:r w:rsidDel="00000000" w:rsidR="00000000" w:rsidRPr="00000000">
              <w:rPr>
                <w:b w:val="1"/>
                <w:bCs w:val="1"/>
                <w:rtl w:val="0"/>
              </w:rPr>
              <w:t xml:space="preserve">Review cycle</w:t>
            </w:r>
            <w:r w:rsidDel="00000000" w:rsidR="00000000" w:rsidRPr="00000000">
              <w:rPr>
                <w:rtl w:val="0"/>
              </w:rPr>
            </w:r>
          </w:p>
        </w:tc>
        <w:tc>
          <w:tcPr>
            <w:vAlign w:val="center"/>
          </w:tcPr>
          <w:p w:rsidR="00000000" w:rsidDel="00000000" w:rsidP="00000000" w:rsidRDefault="00000000" w:rsidRPr="00000000" w14:paraId="0000000A">
            <w:pPr>
              <w:rPr/>
            </w:pPr>
            <w:r w:rsidDel="00000000" w:rsidR="00000000" w:rsidRPr="00000000">
              <w:rPr>
                <w:rtl w:val="0"/>
              </w:rPr>
              <w:t xml:space="preserve">Annual</w:t>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1"/>
        <w:rPr/>
      </w:pPr>
      <w:r w:rsidDel="00000000" w:rsidR="00000000" w:rsidRPr="00000000">
        <w:rPr>
          <w:rtl w:val="0"/>
        </w:rPr>
        <w:t xml:space="preserve">A. Purpose and Authority</w:t>
      </w:r>
    </w:p>
    <w:p w:rsidR="00000000" w:rsidDel="00000000" w:rsidP="00000000" w:rsidRDefault="00000000" w:rsidRPr="00000000" w14:paraId="0000000D">
      <w:pPr>
        <w:rPr/>
      </w:pPr>
      <w:r w:rsidDel="00000000" w:rsidR="00000000" w:rsidRPr="00000000">
        <w:rPr>
          <w:b w:val="1"/>
          <w:bCs w:val="1"/>
          <w:rtl w:val="0"/>
        </w:rPr>
        <w:t xml:space="preserve">1. Purpose. </w:t>
      </w:r>
      <w:r w:rsidDel="00000000" w:rsidR="00000000" w:rsidRPr="00000000">
        <w:rPr>
          <w:rtl w:val="0"/>
        </w:rPr>
        <w:t xml:space="preserve">This Policy establishes a consistent, documented process for evaluating and acquiring interests in real property for the 1000 Islands Regional Local Development Corporation (the “Corporation”). It is intended to ensure that acquisitions are undertaken only when they further the Corporation’s lawful public purposes, are supported by appropriate due diligence and valuation, are financially prudent, and are approved through an accountable Board process.</w:t>
      </w:r>
    </w:p>
    <w:p w:rsidR="00000000" w:rsidDel="00000000" w:rsidP="00000000" w:rsidRDefault="00000000" w:rsidRPr="00000000" w14:paraId="0000000E">
      <w:pPr>
        <w:rPr/>
      </w:pPr>
      <w:r w:rsidDel="00000000" w:rsidR="00000000" w:rsidRPr="00000000">
        <w:rPr>
          <w:b w:val="1"/>
          <w:bCs w:val="1"/>
          <w:rtl w:val="0"/>
        </w:rPr>
        <w:t xml:space="preserve">2. Authority. </w:t>
      </w:r>
      <w:r w:rsidDel="00000000" w:rsidR="00000000" w:rsidRPr="00000000">
        <w:rPr>
          <w:rtl w:val="0"/>
        </w:rPr>
        <w:t xml:space="preserve">This Policy is adopted pursuant to the Corporation’s Certificate of Incorporation, its Bylaws, New York Not-for-Profit Corporation Law §1411, Public Authorities Law §2824(1)(e), and other applicable law. Nothing in this Policy expands the Corporation’s powers beyond those otherwise granted by law or its governing documents.</w:t>
      </w:r>
    </w:p>
    <w:p w:rsidR="00000000" w:rsidDel="00000000" w:rsidP="00000000" w:rsidRDefault="00000000" w:rsidRPr="00000000" w14:paraId="0000000F">
      <w:pPr>
        <w:rPr/>
      </w:pPr>
      <w:r w:rsidDel="00000000" w:rsidR="00000000" w:rsidRPr="00000000">
        <w:rPr>
          <w:b w:val="1"/>
          <w:bCs w:val="1"/>
          <w:rtl w:val="0"/>
        </w:rPr>
        <w:t xml:space="preserve">3. Scope. </w:t>
      </w:r>
      <w:r w:rsidDel="00000000" w:rsidR="00000000" w:rsidRPr="00000000">
        <w:rPr>
          <w:rtl w:val="0"/>
        </w:rPr>
        <w:t xml:space="preserve">This Policy applies to the proposed purchase, lease, exchange, option, easement, license, development right, or other acquisition of a material interest in real property by or for the Corporation. It also applies, to the extent appropriate, when the Corporation is evaluating a phased acquisition, partnership, or other structure that could result in a real-property interest.</w:t>
      </w:r>
    </w:p>
    <w:p w:rsidR="00000000" w:rsidDel="00000000" w:rsidP="00000000" w:rsidRDefault="00000000" w:rsidRPr="00000000" w14:paraId="00000010">
      <w:pPr>
        <w:pStyle w:val="Heading1"/>
        <w:rPr/>
      </w:pPr>
      <w:r w:rsidDel="00000000" w:rsidR="00000000" w:rsidRPr="00000000">
        <w:rPr>
          <w:rtl w:val="0"/>
        </w:rPr>
        <w:t xml:space="preserve">B. Guiding Principles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Every proposed acquisition must be tied to the Corporation’s Certificate of Incorporation, mission, and authorized public purposes.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Board shall exercise independent judgment and consider both the public benefit and the financial, operational, legal, and reputational risks of the proposed transaction.</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Corporation should consider whether the same public purpose can reasonably be achieved through a lower-risk alternative, including a lease, option, partial acquisition, partnership, or other structure.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No acquisition shall be undertaken primarily for private benefit or for the pecuniary benefit of a Director, officer, Member, contractor, or other private person.</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Acquisition decisions shall be supported by a written record sufficient to explain why the transaction is reasonable, prudent, and in the public interest.</w:t>
      </w:r>
    </w:p>
    <w:p w:rsidR="00000000" w:rsidDel="00000000" w:rsidP="00000000" w:rsidRDefault="00000000" w:rsidRPr="00000000" w14:paraId="00000016">
      <w:pPr>
        <w:pStyle w:val="Heading1"/>
        <w:rPr/>
      </w:pPr>
      <w:r w:rsidDel="00000000" w:rsidR="00000000" w:rsidRPr="00000000">
        <w:rPr>
          <w:rtl w:val="0"/>
        </w:rPr>
        <w:t xml:space="preserve">C. Preliminary Evaluation</w:t>
      </w:r>
    </w:p>
    <w:p w:rsidR="00000000" w:rsidDel="00000000" w:rsidP="00000000" w:rsidRDefault="00000000" w:rsidRPr="00000000" w14:paraId="00000017">
      <w:pPr>
        <w:rPr/>
      </w:pPr>
      <w:r w:rsidDel="00000000" w:rsidR="00000000" w:rsidRPr="00000000">
        <w:rPr>
          <w:rtl w:val="0"/>
        </w:rPr>
        <w:t xml:space="preserve">Before the Corporation commits to an acquisition, the Board, the Property Contracting Officer, or another Board-authorized representative shall develop a preliminary record addressing, as applicable:</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property and interest proposed to be acquired;</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proposed public purpose and expected economic or community-development benefits;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relationship of the proposed acquisition to the Corporation’s mission and Certificate of Incorporation;</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anticipated acquisition price or consideration and the basis for that amount;</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Known operating, capital, environmental, structural, title, tax, financing, tenant, lease, or other material risks;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Potential alternatives to acquisition; and</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additional professional due diligence reasonably needed before a final decision.</w:t>
      </w:r>
    </w:p>
    <w:p w:rsidR="00000000" w:rsidDel="00000000" w:rsidP="00000000" w:rsidRDefault="00000000" w:rsidRPr="00000000" w14:paraId="0000001F">
      <w:pPr>
        <w:pStyle w:val="Heading1"/>
        <w:rPr/>
      </w:pPr>
      <w:r w:rsidDel="00000000" w:rsidR="00000000" w:rsidRPr="00000000">
        <w:rPr>
          <w:rtl w:val="0"/>
        </w:rPr>
        <w:t xml:space="preserve">D. Expressions of Interest and Preliminary Communications</w:t>
      </w:r>
    </w:p>
    <w:p w:rsidR="00000000" w:rsidDel="00000000" w:rsidP="00000000" w:rsidRDefault="00000000" w:rsidRPr="00000000" w14:paraId="00000020">
      <w:pPr>
        <w:rPr/>
      </w:pPr>
      <w:r w:rsidDel="00000000" w:rsidR="00000000" w:rsidRPr="00000000">
        <w:rPr>
          <w:rtl w:val="0"/>
        </w:rPr>
        <w:t xml:space="preserve">The Board may authorize the Chairperson, Vice Chairperson, or such other officers or representatives as the Board designates to communicate preliminary interest in a property, request information, and issue a non-binding Expression of Interest when appropriate. Any such communication shall clearly state that it is non-binding and does not constitute an offer, approval of a purchase price, Letter of Intent, Purchase and Sale Agreement, financing commitment, or other binding obligation unless separately authorized by the Board.</w:t>
      </w:r>
    </w:p>
    <w:p w:rsidR="00000000" w:rsidDel="00000000" w:rsidP="00000000" w:rsidRDefault="00000000" w:rsidRPr="00000000" w14:paraId="00000021">
      <w:pPr>
        <w:pStyle w:val="Heading1"/>
        <w:rPr/>
      </w:pPr>
      <w:r w:rsidDel="00000000" w:rsidR="00000000" w:rsidRPr="00000000">
        <w:rPr>
          <w:rtl w:val="0"/>
        </w:rPr>
        <w:t xml:space="preserve">E. Due Diligence</w:t>
      </w:r>
    </w:p>
    <w:p w:rsidR="00000000" w:rsidDel="00000000" w:rsidP="00000000" w:rsidRDefault="00000000" w:rsidRPr="00000000" w14:paraId="00000022">
      <w:pPr>
        <w:rPr/>
      </w:pPr>
      <w:r w:rsidDel="00000000" w:rsidR="00000000" w:rsidRPr="00000000">
        <w:rPr>
          <w:rtl w:val="0"/>
        </w:rPr>
        <w:t xml:space="preserve">The scope of due diligence shall be proportionate to the size, condition, complexity, and risk of the proposed acquisition. As applicable, the Corporation should obtain or review:</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Title, survey, easements, reciprocal easement agreements, access rights, restrictions, zoning, and land-use matters;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Independent appraisal or other qualified valuation analysis appropriate to the transaction;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Historical and current financial information, operating expenses, taxes, insurance, utilities, and capital requirements;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Leases, tenant status, rent rolls, defaults, co-tenancy provisions, options, termination rights, and other occupancy obligations when income-producing property is involved;</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Property-condition, structural, roof, mechanical, electrical, plumbing, pavement, parking, stormwater, utility, ADA, and other engineering matters as appropriate;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Phase I Environmental Site Assessment and any additional environmental testing or review recommended by qualified professionals;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Potential hazardous materials, remediation obligations, environmental liabilities, and insurance implications;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SEQRA and other governmental approvals or environmental-review requirements, as determined with counsel;</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Financing terms, debt-service capacity, reserves, closing costs, and the Corporation’s ability to carry the property through the anticipated holding or redevelopment period;</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Tax consequences, including any implications associated with tax-exempt status, debt-financed property, commercial tenancy, or other matters requiring tax counsel or accounting review; and</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Any other information reasonably requested by the Board, counsel, auditor, engineer, appraiser, financial adviser, or other professional adviser.</w:t>
      </w:r>
    </w:p>
    <w:p w:rsidR="00000000" w:rsidDel="00000000" w:rsidP="00000000" w:rsidRDefault="00000000" w:rsidRPr="00000000" w14:paraId="0000002E">
      <w:pPr>
        <w:pStyle w:val="Heading1"/>
        <w:rPr/>
      </w:pPr>
      <w:r w:rsidDel="00000000" w:rsidR="00000000" w:rsidRPr="00000000">
        <w:rPr>
          <w:rtl w:val="0"/>
        </w:rPr>
        <w:t xml:space="preserve">F. Valuation and Purchase Price</w:t>
      </w:r>
    </w:p>
    <w:p w:rsidR="00000000" w:rsidDel="00000000" w:rsidP="00000000" w:rsidRDefault="00000000" w:rsidRPr="00000000" w14:paraId="0000002F">
      <w:pPr>
        <w:rPr/>
      </w:pPr>
      <w:r w:rsidDel="00000000" w:rsidR="00000000" w:rsidRPr="00000000">
        <w:rPr>
          <w:rtl w:val="0"/>
        </w:rPr>
        <w:t xml:space="preserve">Before final approval of a material acquisition, the Board shall have a reasonable basis for determining the property’s fair market value and the prudence of the proposed purchase price. The Board may rely on an independent appraisal, broker opinion of value, income-capitalization analysis, discounted cash-flow analysis, comparable-sales analysis, or other qualified valuation method appropriate to the property and transaction.</w:t>
      </w:r>
    </w:p>
    <w:p w:rsidR="00000000" w:rsidDel="00000000" w:rsidP="00000000" w:rsidRDefault="00000000" w:rsidRPr="00000000" w14:paraId="00000030">
      <w:pPr>
        <w:rPr/>
      </w:pPr>
      <w:r w:rsidDel="00000000" w:rsidR="00000000" w:rsidRPr="00000000">
        <w:rPr>
          <w:rtl w:val="0"/>
        </w:rPr>
        <w:t xml:space="preserve">An assessed value, asking price, preliminary negotiating position, or internal estimate may be considered as context, but should not be treated as a substitute for independent valuation when the size or complexity of the transaction makes independent professional support prudent. Any material difference between the proposed purchase price and the best available evidence of fair market value shall be documented and explained in the Board record.</w:t>
      </w:r>
    </w:p>
    <w:p w:rsidR="00000000" w:rsidDel="00000000" w:rsidP="00000000" w:rsidRDefault="00000000" w:rsidRPr="00000000" w14:paraId="00000031">
      <w:pPr>
        <w:pStyle w:val="Heading1"/>
        <w:rPr/>
      </w:pPr>
      <w:r w:rsidDel="00000000" w:rsidR="00000000" w:rsidRPr="00000000">
        <w:rPr>
          <w:rtl w:val="0"/>
        </w:rPr>
        <w:t xml:space="preserve">G. Conflicts of Interest and Related-Party Matters</w:t>
      </w:r>
    </w:p>
    <w:p w:rsidR="00000000" w:rsidDel="00000000" w:rsidP="00000000" w:rsidRDefault="00000000" w:rsidRPr="00000000" w14:paraId="00000032">
      <w:pPr>
        <w:rPr/>
      </w:pPr>
      <w:r w:rsidDel="00000000" w:rsidR="00000000" w:rsidRPr="00000000">
        <w:rPr>
          <w:rtl w:val="0"/>
        </w:rPr>
        <w:t xml:space="preserve">Directors, officers, Members, employees, contractors, and advisers participating in an acquisition shall comply with the Corporation’s Code of Ethics and Conflict of Interest and Related Party Transactions Policy. Any actual or potential conflict shall be disclosed promptly. A conflicted person shall not participate in deliberation or voting except to provide factual information when requested and when permitted by law and policy. Related-party transactions shall receive the review and approval required by applicable law and Corporation policy.</w:t>
      </w:r>
    </w:p>
    <w:p w:rsidR="00000000" w:rsidDel="00000000" w:rsidP="00000000" w:rsidRDefault="00000000" w:rsidRPr="00000000" w14:paraId="00000033">
      <w:pPr>
        <w:pStyle w:val="Heading1"/>
        <w:rPr/>
      </w:pPr>
      <w:r w:rsidDel="00000000" w:rsidR="00000000" w:rsidRPr="00000000">
        <w:rPr>
          <w:rtl w:val="0"/>
        </w:rPr>
        <w:t xml:space="preserve">H. Board Authorization and Transaction Documents</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No final acquisition shall occur without express Board authorization by resolution.</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Board authorization shall identify the property or transaction with sufficient specificity and shall state or approve the material business terms, including the purchase price or maximum authorized consideration, funding or financing source if known, and any material contingencies.</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Any Letter of Intent, Purchase and Sale Agreement, lease, option, financing commitment, or other binding instrument shall be reviewed by Corporation counsel before execution unless the Board expressly determines otherwise on advice of counsel.</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Board may authorize one or more officers to negotiate and execute documents within stated limits, but no officer or representative may exceed the authority granted by the Board.</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Material changes in price, risk, financing, property condition, or transaction structure after Board approval shall be returned to the Board when the change exceeds the authority previously granted.</w:t>
      </w:r>
    </w:p>
    <w:p w:rsidR="00000000" w:rsidDel="00000000" w:rsidP="00000000" w:rsidRDefault="00000000" w:rsidRPr="00000000" w14:paraId="00000039">
      <w:pPr>
        <w:pStyle w:val="Heading1"/>
        <w:rPr/>
      </w:pPr>
      <w:r w:rsidDel="00000000" w:rsidR="00000000" w:rsidRPr="00000000">
        <w:rPr>
          <w:rtl w:val="0"/>
        </w:rPr>
        <w:t xml:space="preserve">I. Financing, Budget and Internal Controls</w:t>
      </w:r>
    </w:p>
    <w:p w:rsidR="00000000" w:rsidDel="00000000" w:rsidP="00000000" w:rsidRDefault="00000000" w:rsidRPr="00000000" w14:paraId="0000003A">
      <w:pPr>
        <w:rPr/>
      </w:pPr>
      <w:r w:rsidDel="00000000" w:rsidR="00000000" w:rsidRPr="00000000">
        <w:rPr>
          <w:rtl w:val="0"/>
        </w:rPr>
        <w:t xml:space="preserve">Before closing, the Corporation shall identify the anticipated source of acquisition funds and reasonably foreseeable near-term costs associated with ownership. The Board should consider acquisition cost, closing costs, professional fees, insurance, taxes, utilities, security, maintenance, repairs, capital improvements, tenant costs, redevelopment costs, reserves, and financing costs as applicable. No borrowing, bond issuance, mortgage, pledge, or other indebtedness shall be undertaken without separate Board authorization and compliance with applicable law and Corporation policy.</w:t>
      </w:r>
    </w:p>
    <w:p w:rsidR="00000000" w:rsidDel="00000000" w:rsidP="00000000" w:rsidRDefault="00000000" w:rsidRPr="00000000" w14:paraId="0000003B">
      <w:pPr>
        <w:pStyle w:val="Heading1"/>
        <w:rPr/>
      </w:pPr>
      <w:r w:rsidDel="00000000" w:rsidR="00000000" w:rsidRPr="00000000">
        <w:rPr>
          <w:rtl w:val="0"/>
        </w:rPr>
        <w:t xml:space="preserve">J. Closing, Records and Reporting</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Corporation shall maintain a complete acquisition file containing the Board resolutions, valuation materials, due-diligence reports, conflict disclosures, transaction documents, approvals, closing statement, title documents, and other material records.</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corporate Secretary shall retain executed governing and transaction records in the Corporation’s secure corporate record system.</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Real-property acquisitions shall be reported in PARIS and on the Corporation’s website to the extent required by applicable law and ABO reporting or transparency guidance.</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Corporation shall maintain an up-to-date list of real property it owns and make required public disclosures while protecting information that may lawfully be withheld.</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Following closing, responsibility for property management, insurance, accounting, lease administration, capital planning, and compliance shall be assigned by the Board or through Board-authorized contracts.</w:t>
      </w:r>
    </w:p>
    <w:p w:rsidR="00000000" w:rsidDel="00000000" w:rsidP="00000000" w:rsidRDefault="00000000" w:rsidRPr="00000000" w14:paraId="00000041">
      <w:pPr>
        <w:pStyle w:val="Heading1"/>
        <w:rPr/>
      </w:pPr>
      <w:r w:rsidDel="00000000" w:rsidR="00000000" w:rsidRPr="00000000">
        <w:rPr>
          <w:rtl w:val="0"/>
        </w:rPr>
        <w:t xml:space="preserve">K. Exceptions and Emergencies</w:t>
      </w:r>
    </w:p>
    <w:p w:rsidR="00000000" w:rsidDel="00000000" w:rsidP="00000000" w:rsidRDefault="00000000" w:rsidRPr="00000000" w14:paraId="00000042">
      <w:pPr>
        <w:rPr/>
      </w:pPr>
      <w:r w:rsidDel="00000000" w:rsidR="00000000" w:rsidRPr="00000000">
        <w:rPr>
          <w:rtl w:val="0"/>
        </w:rPr>
        <w:t xml:space="preserve">The Board may approve a transaction-specific variation from a procedural provision of this Policy when it determines that the variation is lawful, reasonable, and in the Corporation’s best interest. The reason shall be documented in the Board record. No exception may waive a requirement imposed by law, the Certificate of Incorporation, the Bylaws, a grant or financing agreement, or other binding obligation.</w:t>
      </w:r>
    </w:p>
    <w:p w:rsidR="00000000" w:rsidDel="00000000" w:rsidP="00000000" w:rsidRDefault="00000000" w:rsidRPr="00000000" w14:paraId="00000043">
      <w:pPr>
        <w:pStyle w:val="Heading1"/>
        <w:rPr/>
      </w:pPr>
      <w:r w:rsidDel="00000000" w:rsidR="00000000" w:rsidRPr="00000000">
        <w:rPr>
          <w:rtl w:val="0"/>
        </w:rPr>
        <w:t xml:space="preserve">L. Administration and Annual Review</w:t>
      </w:r>
    </w:p>
    <w:p w:rsidR="00000000" w:rsidDel="00000000" w:rsidP="00000000" w:rsidRDefault="00000000" w:rsidRPr="00000000" w14:paraId="00000044">
      <w:pPr>
        <w:rPr/>
      </w:pPr>
      <w:r w:rsidDel="00000000" w:rsidR="00000000" w:rsidRPr="00000000">
        <w:rPr>
          <w:rtl w:val="0"/>
        </w:rPr>
        <w:t xml:space="preserve">The Property Contracting Officer, or another officer or designee authorized by the Board, shall coordinate implementation of this Policy. The Board shall review this Policy at least annually and may amend it by resolution. The Governance Committee may recommend changes, and the Audit &amp; Finance Committee may review financial-control and risk issues associated with acquisitions.</w:t>
      </w:r>
    </w:p>
    <w:p w:rsidR="00000000" w:rsidDel="00000000" w:rsidP="00000000" w:rsidRDefault="00000000" w:rsidRPr="00000000" w14:paraId="00000045">
      <w:pPr>
        <w:pStyle w:val="Heading1"/>
        <w:rPr/>
      </w:pPr>
      <w:r w:rsidDel="00000000" w:rsidR="00000000" w:rsidRPr="00000000">
        <w:rPr>
          <w:rtl w:val="0"/>
        </w:rPr>
        <w:t xml:space="preserve">Board Adoption</w:t>
      </w:r>
    </w:p>
    <w:p w:rsidR="00000000" w:rsidDel="00000000" w:rsidP="00000000" w:rsidRDefault="00000000" w:rsidRPr="00000000" w14:paraId="00000046">
      <w:pPr>
        <w:rPr/>
      </w:pPr>
      <w:r w:rsidDel="00000000" w:rsidR="00000000" w:rsidRPr="00000000">
        <w:rPr>
          <w:b w:val="1"/>
          <w:bCs w:val="1"/>
          <w:rtl w:val="0"/>
        </w:rPr>
        <w:t xml:space="preserve">RESOLVED, </w:t>
      </w:r>
      <w:r w:rsidDel="00000000" w:rsidR="00000000" w:rsidRPr="00000000">
        <w:rPr>
          <w:rtl w:val="0"/>
        </w:rPr>
        <w:t xml:space="preserve">that the Board of Directors of the 1000 Islands Regional Local Development Corporation hereby adopts this Real Property Acquisition Policy effective August 26, 2026; and</w:t>
      </w:r>
    </w:p>
    <w:p w:rsidR="00000000" w:rsidDel="00000000" w:rsidP="00000000" w:rsidRDefault="00000000" w:rsidRPr="00000000" w14:paraId="00000047">
      <w:pPr>
        <w:rPr/>
      </w:pPr>
      <w:r w:rsidDel="00000000" w:rsidR="00000000" w:rsidRPr="00000000">
        <w:rPr>
          <w:b w:val="1"/>
          <w:bCs w:val="1"/>
          <w:rtl w:val="0"/>
        </w:rPr>
        <w:t xml:space="preserve">BE IT FURTHER RESOLVED, </w:t>
      </w:r>
      <w:r w:rsidDel="00000000" w:rsidR="00000000" w:rsidRPr="00000000">
        <w:rPr>
          <w:rtl w:val="0"/>
        </w:rPr>
        <w:t xml:space="preserve">that the Property Contracting Officer and other Board-authorized officers and representatives are directed to administer acquisitions consistently with this Policy, the Corporation’s governing documents, and applicable law; and</w:t>
      </w:r>
    </w:p>
    <w:p w:rsidR="00000000" w:rsidDel="00000000" w:rsidP="00000000" w:rsidRDefault="00000000" w:rsidRPr="00000000" w14:paraId="00000048">
      <w:pPr>
        <w:rPr/>
      </w:pPr>
      <w:r w:rsidDel="00000000" w:rsidR="00000000" w:rsidRPr="00000000">
        <w:rPr>
          <w:b w:val="1"/>
          <w:bCs w:val="1"/>
          <w:rtl w:val="0"/>
        </w:rPr>
        <w:t xml:space="preserve">BE IT FURTHER RESOLVED, </w:t>
      </w:r>
      <w:r w:rsidDel="00000000" w:rsidR="00000000" w:rsidRPr="00000000">
        <w:rPr>
          <w:rtl w:val="0"/>
        </w:rPr>
        <w:t xml:space="preserve">that this Policy shall be reviewed by the Board at least annually and revised as necessary.</w:t>
      </w:r>
    </w:p>
    <w:p w:rsidR="00000000" w:rsidDel="00000000" w:rsidP="00000000" w:rsidRDefault="00000000" w:rsidRPr="00000000" w14:paraId="00000049">
      <w:pPr>
        <w:rPr/>
      </w:pPr>
      <w:r w:rsidDel="00000000" w:rsidR="00000000" w:rsidRPr="00000000">
        <w:rPr>
          <w:rtl w:val="0"/>
        </w:rPr>
      </w:r>
    </w:p>
    <w:tbl>
      <w:tblPr>
        <w:tblStyle w:val="Table2"/>
        <w:tblW w:w="1008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40"/>
        <w:gridCol w:w="5040"/>
        <w:tblGridChange w:id="0">
          <w:tblGrid>
            <w:gridCol w:w="5040"/>
            <w:gridCol w:w="5040"/>
          </w:tblGrid>
        </w:tblGridChange>
      </w:tblGrid>
      <w:tr>
        <w:trPr>
          <w:cantSplit w:val="0"/>
          <w:tblHeader w:val="0"/>
        </w:trPr>
        <w:tc>
          <w:tcPr/>
          <w:p w:rsidR="00000000" w:rsidDel="00000000" w:rsidP="00000000" w:rsidRDefault="00000000" w:rsidRPr="00000000" w14:paraId="0000004A">
            <w:pPr>
              <w:rPr/>
            </w:pPr>
            <w:r w:rsidDel="00000000" w:rsidR="00000000" w:rsidRPr="00000000">
              <w:rPr>
                <w:b w:val="1"/>
                <w:bCs w:val="1"/>
                <w:rtl w:val="0"/>
              </w:rPr>
              <w:t xml:space="preserve">Adopted by the Board of Directors</w:t>
            </w:r>
            <w:r w:rsidDel="00000000" w:rsidR="00000000" w:rsidRPr="00000000">
              <w:rPr>
                <w:rtl w:val="0"/>
              </w:rPr>
            </w:r>
          </w:p>
        </w:tc>
        <w:tc>
          <w:tcPr/>
          <w:p w:rsidR="00000000" w:rsidDel="00000000" w:rsidP="00000000" w:rsidRDefault="00000000" w:rsidRPr="00000000" w14:paraId="0000004B">
            <w:pPr>
              <w:rPr/>
            </w:pPr>
            <w:r w:rsidDel="00000000" w:rsidR="00000000" w:rsidRPr="00000000">
              <w:rPr>
                <w:rtl w:val="0"/>
              </w:rPr>
              <w:t xml:space="preserve">September 2, 2026 </w:t>
            </w:r>
          </w:p>
        </w:tc>
      </w:tr>
      <w:tr>
        <w:trPr>
          <w:cantSplit w:val="0"/>
          <w:tblHeader w:val="0"/>
        </w:trPr>
        <w:tc>
          <w:tcPr/>
          <w:p w:rsidR="00000000" w:rsidDel="00000000" w:rsidP="00000000" w:rsidRDefault="00000000" w:rsidRPr="00000000" w14:paraId="0000004C">
            <w:pPr>
              <w:rPr/>
            </w:pPr>
            <w:r w:rsidDel="00000000" w:rsidR="00000000" w:rsidRPr="00000000">
              <w:rPr>
                <w:b w:val="1"/>
                <w:bCs w:val="1"/>
                <w:rtl w:val="0"/>
              </w:rPr>
              <w:t xml:space="preserve">Motion by</w:t>
            </w:r>
            <w:r w:rsidDel="00000000" w:rsidR="00000000" w:rsidRPr="00000000">
              <w:rPr>
                <w:rtl w:val="0"/>
              </w:rPr>
            </w:r>
          </w:p>
        </w:tc>
        <w:tc>
          <w:tcPr/>
          <w:p w:rsidR="00000000" w:rsidDel="00000000" w:rsidP="00000000" w:rsidRDefault="00000000" w:rsidRPr="00000000" w14:paraId="0000004D">
            <w:pPr>
              <w:rPr/>
            </w:pPr>
            <w:r w:rsidDel="00000000" w:rsidR="00000000" w:rsidRPr="00000000">
              <w:rPr>
                <w:rtl w:val="0"/>
              </w:rPr>
              <w:t xml:space="preserve">____________________________</w:t>
            </w:r>
          </w:p>
        </w:tc>
      </w:tr>
      <w:tr>
        <w:trPr>
          <w:cantSplit w:val="0"/>
          <w:tblHeader w:val="0"/>
        </w:trPr>
        <w:tc>
          <w:tcPr/>
          <w:p w:rsidR="00000000" w:rsidDel="00000000" w:rsidP="00000000" w:rsidRDefault="00000000" w:rsidRPr="00000000" w14:paraId="0000004E">
            <w:pPr>
              <w:rPr/>
            </w:pPr>
            <w:r w:rsidDel="00000000" w:rsidR="00000000" w:rsidRPr="00000000">
              <w:rPr>
                <w:b w:val="1"/>
                <w:bCs w:val="1"/>
                <w:rtl w:val="0"/>
              </w:rPr>
              <w:t xml:space="preserve">Second by</w:t>
            </w:r>
            <w:r w:rsidDel="00000000" w:rsidR="00000000" w:rsidRPr="00000000">
              <w:rPr>
                <w:rtl w:val="0"/>
              </w:rPr>
            </w:r>
          </w:p>
        </w:tc>
        <w:tc>
          <w:tcPr/>
          <w:p w:rsidR="00000000" w:rsidDel="00000000" w:rsidP="00000000" w:rsidRDefault="00000000" w:rsidRPr="00000000" w14:paraId="0000004F">
            <w:pPr>
              <w:rPr/>
            </w:pPr>
            <w:r w:rsidDel="00000000" w:rsidR="00000000" w:rsidRPr="00000000">
              <w:rPr>
                <w:rtl w:val="0"/>
              </w:rPr>
              <w:t xml:space="preserve">____________________________</w:t>
            </w:r>
          </w:p>
        </w:tc>
      </w:tr>
      <w:tr>
        <w:trPr>
          <w:cantSplit w:val="0"/>
          <w:tblHeader w:val="0"/>
        </w:trPr>
        <w:tc>
          <w:tcPr/>
          <w:p w:rsidR="00000000" w:rsidDel="00000000" w:rsidP="00000000" w:rsidRDefault="00000000" w:rsidRPr="00000000" w14:paraId="00000050">
            <w:pPr>
              <w:rPr/>
            </w:pPr>
            <w:r w:rsidDel="00000000" w:rsidR="00000000" w:rsidRPr="00000000">
              <w:rPr>
                <w:b w:val="1"/>
                <w:bCs w:val="1"/>
                <w:rtl w:val="0"/>
              </w:rPr>
              <w:t xml:space="preserve">Vote / Secretary certification</w:t>
            </w:r>
            <w:r w:rsidDel="00000000" w:rsidR="00000000" w:rsidRPr="00000000">
              <w:rPr>
                <w:rtl w:val="0"/>
              </w:rPr>
            </w:r>
          </w:p>
        </w:tc>
        <w:tc>
          <w:tcPr/>
          <w:p w:rsidR="00000000" w:rsidDel="00000000" w:rsidP="00000000" w:rsidRDefault="00000000" w:rsidRPr="00000000" w14:paraId="00000051">
            <w:pPr>
              <w:rPr/>
            </w:pPr>
            <w:r w:rsidDel="00000000" w:rsidR="00000000" w:rsidRPr="00000000">
              <w:rPr>
                <w:rtl w:val="0"/>
              </w:rPr>
              <w:t xml:space="preserve">____________________________</w:t>
            </w:r>
          </w:p>
        </w:tc>
      </w:tr>
    </w:tbl>
    <w:p w:rsidR="00000000" w:rsidDel="00000000" w:rsidP="00000000" w:rsidRDefault="00000000" w:rsidRPr="00000000" w14:paraId="00000052">
      <w:pPr>
        <w:jc w:val="center"/>
        <w:rPr/>
      </w:pPr>
      <w:r w:rsidDel="00000000" w:rsidR="00000000" w:rsidRPr="00000000">
        <w:rPr>
          <w:i w:val="1"/>
          <w:iCs w:val="1"/>
          <w:color w:val="646464"/>
          <w:sz w:val="17"/>
          <w:szCs w:val="17"/>
          <w:rtl w:val="0"/>
        </w:rPr>
        <w:t xml:space="preserve">Prepared for Board and legal counsel review.</w:t>
      </w:r>
      <w:r w:rsidDel="00000000" w:rsidR="00000000" w:rsidRPr="00000000">
        <w:rPr>
          <w:rtl w:val="0"/>
        </w:rPr>
      </w:r>
    </w:p>
    <w:sectPr>
      <w:footerReference r:id="rId7" w:type="default"/>
      <w:pgSz w:h="15840" w:w="12240" w:orient="portrait"/>
      <w:pgMar w:bottom="792" w:top="792"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6e6e6e"/>
        <w:sz w:val="16"/>
        <w:szCs w:val="16"/>
        <w:u w:val="none"/>
        <w:shd w:fill="auto" w:val="clear"/>
        <w:vertAlign w:val="baseline"/>
        <w:rtl w:val="0"/>
      </w:rPr>
      <w:t xml:space="preserve">1000 Islands Regional Local Development Corporation  |  Real Property Acquisition Policy</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lang w:val="en"/>
      </w:rPr>
    </w:rPrDefault>
    <w:pPrDefault>
      <w:pPr>
        <w:spacing w:after="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140" w:lineRule="auto"/>
    </w:pPr>
    <w:rPr>
      <w:rFonts w:ascii="Calibri" w:cs="Calibri" w:eastAsia="Calibri" w:hAnsi="Calibri"/>
      <w:b w:val="1"/>
      <w:bCs w:val="1"/>
      <w:color w:val="1f375d"/>
      <w:sz w:val="26"/>
      <w:szCs w:val="26"/>
    </w:rPr>
  </w:style>
  <w:style w:type="paragraph" w:styleId="Heading2">
    <w:name w:val="heading 2"/>
    <w:basedOn w:val="Normal"/>
    <w:next w:val="Normal"/>
    <w:pPr>
      <w:keepNext w:val="1"/>
      <w:keepLines w:val="1"/>
      <w:spacing w:before="140" w:lineRule="auto"/>
    </w:pPr>
    <w:rPr>
      <w:rFonts w:ascii="Calibri" w:cs="Calibri" w:eastAsia="Calibri" w:hAnsi="Calibri"/>
      <w:b w:val="1"/>
      <w:bCs w:val="1"/>
      <w:color w:val="1f375d"/>
      <w:sz w:val="22"/>
      <w:szCs w:val="2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Rule="auto"/>
    </w:pPr>
    <w:rPr>
      <w:rFonts w:ascii="Calibri" w:cs="Calibri" w:eastAsia="Calibri" w:hAnsi="Calibri"/>
      <w:b w:val="1"/>
      <w:bCs w:val="1"/>
      <w:color w:val="17365d"/>
      <w:sz w:val="36"/>
      <w:szCs w:val="36"/>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rM9MFwLXVNYrOLENEC61zQ/tHg==">CgMxLjA4AHIhMUhKbV9VT0NZYVFHYnhzd2Y0OGtHZ3VuZ1FwbTBLOUtu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2026-08-25T16:42:00Z</dcterms:created>
  <dc:creator>python-docx</dc:creator>
</cp:coreProperties>
</file>